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8" w:lineRule="exact"/>
        <w:ind w:left="4722" w:right="0" w:firstLine="0"/>
        <w:jc w:val="left"/>
        <w:rPr>
          <w:rFonts w:ascii="Arial" w:hAnsi="Calibri"/>
          <w:b/>
          <w:color w:val="000000"/>
          <w:sz w:val="32"/>
          <w:szCs w:val="22"/>
          <w:lang w:val="en-US" w:eastAsia="en-US" w:bidi="ar-SA"/>
        </w:rPr>
      </w:pPr>
      <w:bookmarkStart w:id="0" w:name="br1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</wp:posOffset>
            </wp:positionH>
            <wp:positionV relativeFrom="page">
              <wp:posOffset>-12700</wp:posOffset>
            </wp:positionV>
            <wp:extent cx="1465580" cy="1465580"/>
            <wp:effectExtent l="0" t="0" r="1270" b="127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br1_0"/>
      <w:bookmarkEnd w:id="1"/>
      <w:r>
        <w:rPr>
          <w:rFonts w:hint="eastAsia" w:eastAsia="宋体"/>
          <w:lang w:val="en-US" w:eastAsia="zh-CN"/>
        </w:rPr>
        <w:t xml:space="preserve">                          </w:t>
      </w:r>
      <w:r>
        <w:rPr>
          <w:rFonts w:hint="eastAsia" w:ascii="Arial" w:hAnsi="Calibri" w:eastAsiaTheme="minorEastAsia" w:cstheme="minorBidi"/>
          <w:b/>
          <w:color w:val="D32F2F"/>
          <w:sz w:val="32"/>
          <w:szCs w:val="22"/>
          <w:lang w:val="en-US" w:eastAsia="en-US" w:bidi="ar-SA"/>
        </w:rPr>
        <w:t>White IML Film</w:t>
      </w:r>
    </w:p>
    <w:p>
      <w:pPr>
        <w:spacing w:before="366" w:after="0" w:line="285" w:lineRule="exact"/>
        <w:ind w:left="685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pacing w:val="-6"/>
          <w:szCs w:val="22"/>
          <w:lang w:val="en-US" w:eastAsia="en-US" w:bidi="ar-SA"/>
        </w:rPr>
        <w:t>(HWCMP62-103)</w:t>
      </w:r>
      <w:r>
        <w:rPr>
          <w:rFonts w:hAnsi="Calibri" w:eastAsiaTheme="minorEastAsia" w:cstheme="minorBidi"/>
          <w:color w:val="000000"/>
          <w:spacing w:val="5867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7"/>
          <w:szCs w:val="22"/>
          <w:lang w:val="en-US" w:eastAsia="en-US" w:bidi="ar-SA"/>
        </w:rPr>
        <w:t>2025/</w:t>
      </w:r>
      <w:r>
        <w:rPr>
          <w:rFonts w:hAnsi="Calibri" w:eastAsiaTheme="minorEastAsia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7"/>
          <w:szCs w:val="22"/>
          <w:lang w:val="en-US" w:eastAsia="en-US" w:bidi="ar-SA"/>
        </w:rPr>
        <w:t>03/</w:t>
      </w:r>
      <w:r>
        <w:rPr>
          <w:rFonts w:hAnsi="Calibri" w:eastAsiaTheme="minorEastAsia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7"/>
          <w:szCs w:val="22"/>
          <w:lang w:val="en-US" w:eastAsia="en-US" w:bidi="ar-SA"/>
        </w:rPr>
        <w:t>02</w:t>
      </w:r>
    </w:p>
    <w:p>
      <w:pPr>
        <w:numPr>
          <w:ilvl w:val="0"/>
          <w:numId w:val="2"/>
        </w:numPr>
        <w:spacing w:before="382" w:after="0" w:line="278" w:lineRule="exact"/>
        <w:ind w:left="0" w:right="0" w:firstLine="0"/>
        <w:jc w:val="left"/>
        <w:rPr>
          <w:rFonts w:ascii="Arial" w:hAnsi="Calibri" w:eastAsiaTheme="minorEastAsia" w:cstheme="minorBidi"/>
          <w:b/>
          <w:color w:val="00000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b/>
          <w:color w:val="000000"/>
          <w:szCs w:val="22"/>
          <w:lang w:val="en-US" w:eastAsia="en-US" w:bidi="ar-SA"/>
        </w:rPr>
        <w:t>Product Overview &amp; Applications</w:t>
      </w:r>
    </w:p>
    <w:p>
      <w:r>
        <w:rPr>
          <w:color w:val="000000"/>
        </w:rPr>
        <w:t>White IML  film is a high-quality, biaxially oriented polypropylene film designed for in-mold labeling applications. The white finish provides a clean, crisp appearance ideal for a variety of products. Common applications include:</w:t>
      </w:r>
    </w:p>
    <w:p>
      <w:pPr>
        <w:pStyle w:val="2"/>
        <w:numPr>
          <w:ilvl w:val="0"/>
          <w:numId w:val="0"/>
        </w:numPr>
        <w:ind w:leftChars="0"/>
      </w:pPr>
      <w:r>
        <w:rPr>
          <w:color w:val="000000"/>
        </w:rPr>
        <w:t>- Food packaging: ready-to-eat meals, snacks, dairy products</w:t>
      </w:r>
    </w:p>
    <w:p>
      <w:pPr>
        <w:pStyle w:val="2"/>
        <w:numPr>
          <w:ilvl w:val="0"/>
          <w:numId w:val="0"/>
        </w:numPr>
        <w:ind w:leftChars="0"/>
      </w:pPr>
      <w:r>
        <w:rPr>
          <w:color w:val="000000"/>
        </w:rPr>
        <w:t>- Beverage containers: cups, bottles, and cans</w:t>
      </w:r>
    </w:p>
    <w:p>
      <w:pPr>
        <w:pStyle w:val="2"/>
        <w:numPr>
          <w:ilvl w:val="0"/>
          <w:numId w:val="0"/>
        </w:numPr>
        <w:ind w:leftChars="0"/>
      </w:pPr>
      <w:r>
        <w:rPr>
          <w:color w:val="000000"/>
        </w:rPr>
        <w:t>- Consumer goods: cosmetics, household products</w:t>
      </w:r>
    </w:p>
    <w:p>
      <w:pPr>
        <w:pStyle w:val="2"/>
        <w:numPr>
          <w:ilvl w:val="0"/>
          <w:numId w:val="0"/>
        </w:numPr>
        <w:ind w:leftChars="0"/>
        <w:rPr>
          <w:rFonts w:ascii="Arial" w:hAnsi="Calibri" w:eastAsiaTheme="minorEastAsia" w:cstheme="minorBidi"/>
          <w:b/>
          <w:color w:val="000000"/>
          <w:szCs w:val="22"/>
          <w:lang w:val="en-US" w:eastAsia="en-US" w:bidi="ar-SA"/>
        </w:rPr>
      </w:pPr>
      <w:r>
        <w:rPr>
          <w:color w:val="000000"/>
        </w:rPr>
        <w:t>- Pharmaceutical packaging</w:t>
      </w:r>
    </w:p>
    <w:p>
      <w:pPr>
        <w:numPr>
          <w:ilvl w:val="0"/>
          <w:numId w:val="3"/>
        </w:numPr>
        <w:spacing w:before="423" w:after="0" w:line="278" w:lineRule="exact"/>
        <w:ind w:left="0" w:right="0" w:firstLine="0"/>
        <w:jc w:val="left"/>
        <w:rPr>
          <w:rFonts w:ascii="Arial" w:hAnsi="Calibri" w:eastAsiaTheme="minorEastAsia" w:cstheme="minorBidi"/>
          <w:b/>
          <w:color w:val="00000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b/>
          <w:color w:val="000000"/>
          <w:szCs w:val="22"/>
          <w:lang w:val="en-US" w:eastAsia="en-US" w:bidi="ar-SA"/>
        </w:rPr>
        <w:t>Technical Specifications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40"/>
        <w:gridCol w:w="2143"/>
        <w:gridCol w:w="2143"/>
        <w:gridCol w:w="2143"/>
        <w:gridCol w:w="2143"/>
      </w:tblGrid>
      <w:tr>
        <w:tc>
          <w:tcPr>
            <w:tcW w:w="2040" w:type="dxa"/>
            <w:shd w:val="clear" w:color="auto" w:fill="C00000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Property</w:t>
            </w:r>
          </w:p>
        </w:tc>
        <w:tc>
          <w:tcPr>
            <w:tcW w:w="2040" w:type="dxa"/>
            <w:shd w:val="clear" w:color="auto" w:fill="C00000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2040" w:type="dxa"/>
            <w:shd w:val="clear" w:color="auto" w:fill="C00000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50µm</w:t>
            </w:r>
          </w:p>
        </w:tc>
        <w:tc>
          <w:tcPr>
            <w:tcW w:w="2040" w:type="dxa"/>
            <w:shd w:val="clear" w:color="auto" w:fill="C00000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60µm</w:t>
            </w:r>
          </w:p>
        </w:tc>
        <w:tc>
          <w:tcPr>
            <w:tcW w:w="2040" w:type="dxa"/>
            <w:shd w:val="clear" w:color="auto" w:fill="C00000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70µm</w:t>
            </w:r>
          </w:p>
        </w:tc>
        <w:tc>
          <w:tcPr>
            <w:tcW w:w="2040" w:type="dxa"/>
            <w:shd w:val="clear" w:color="auto" w:fill="C00000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80µm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Thickness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µm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en-US"/>
              </w:rPr>
              <w:t>60</w:t>
            </w:r>
            <w:r>
              <w:t>±3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6</w:t>
            </w:r>
            <w:r>
              <w:rPr>
                <w:rFonts w:hint="default"/>
                <w:lang w:val="en-US"/>
              </w:rPr>
              <w:t>5</w:t>
            </w:r>
            <w:r>
              <w:t>±3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70±3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80±3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Tensile Strength (MD/TD)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N/15mm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≥30/15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≥35/18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≥40/20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≥45/22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Opacity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%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≥90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≥90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≥90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≥90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Gloss (60°)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GU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≥80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≥80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≥80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≥80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Moisture Barrier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Good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Good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Good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Good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Heat Resistance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°C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Up to 120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Up to 120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Up to 120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Up to 120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Surface Tension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mN/m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≥38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≥38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≥38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≥38</w:t>
            </w:r>
          </w:p>
        </w:tc>
      </w:tr>
      <w:tr>
        <w:tc>
          <w:tcPr>
            <w:tcW w:w="2040" w:type="dxa"/>
          </w:tcPr>
          <w:p>
            <w:pPr>
              <w:spacing w:after="0" w:line="240" w:lineRule="auto"/>
            </w:pPr>
            <w:r>
              <w:t>Print Compatibility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 xml:space="preserve">Flexo, Offset, </w:t>
            </w:r>
            <w:r>
              <w:rPr>
                <w:rFonts w:hint="default"/>
                <w:lang w:val="en-US"/>
              </w:rPr>
              <w:t>Rotogravure,</w:t>
            </w:r>
            <w:r>
              <w:t>Digital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 xml:space="preserve">Flexo, Offset, </w:t>
            </w:r>
            <w:r>
              <w:rPr>
                <w:rFonts w:hint="default"/>
                <w:lang w:val="en-US"/>
              </w:rPr>
              <w:t>Rotogravure,</w:t>
            </w:r>
            <w:r>
              <w:t>Digital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 xml:space="preserve">Flexo, Offset, </w:t>
            </w:r>
            <w:r>
              <w:rPr>
                <w:rFonts w:hint="default"/>
                <w:lang w:val="en-US"/>
              </w:rPr>
              <w:t>Rotogravure,</w:t>
            </w:r>
            <w:r>
              <w:t>Digital</w:t>
            </w:r>
          </w:p>
        </w:tc>
        <w:tc>
          <w:tcPr>
            <w:tcW w:w="2040" w:type="dxa"/>
          </w:tcPr>
          <w:p>
            <w:pPr>
              <w:spacing w:after="0" w:line="240" w:lineRule="auto"/>
            </w:pPr>
            <w:r>
              <w:t xml:space="preserve">Flexo, Offset, </w:t>
            </w:r>
            <w:r>
              <w:rPr>
                <w:rFonts w:hint="default"/>
                <w:lang w:val="en-US"/>
              </w:rPr>
              <w:t>Rotogravure,</w:t>
            </w:r>
            <w:r>
              <w:t>Digital</w:t>
            </w:r>
          </w:p>
        </w:tc>
      </w:tr>
    </w:tbl>
    <w:p>
      <w:pPr>
        <w:spacing w:before="414" w:after="0" w:line="288" w:lineRule="exact"/>
        <w:ind w:left="0" w:right="0" w:firstLine="0"/>
        <w:jc w:val="left"/>
        <w:rPr>
          <w:rFonts w:ascii="Arial" w:hAnsi="Calibri"/>
          <w:b/>
          <w:color w:val="00000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b/>
          <w:color w:val="000000"/>
          <w:szCs w:val="22"/>
          <w:lang w:val="en-US" w:eastAsia="en-US" w:bidi="ar-SA"/>
        </w:rPr>
        <w:t>3. Additional Features</w:t>
      </w:r>
      <w:r>
        <w:rPr>
          <w:rFonts w:ascii="Arial" w:hAnsi="Calibri" w:eastAsiaTheme="minorEastAsia" w:cstheme="minorBidi"/>
          <w:b/>
          <w:color w:val="000000"/>
          <w:spacing w:val="5315"/>
          <w:szCs w:val="22"/>
          <w:lang w:val="en-US" w:eastAsia="en-US" w:bidi="ar-SA"/>
        </w:rPr>
        <w:t xml:space="preserve"> </w:t>
      </w:r>
      <w:r>
        <w:rPr>
          <w:rFonts w:ascii="Arial" w:hAnsi="Calibri" w:eastAsiaTheme="minorEastAsia" w:cstheme="minorBidi"/>
          <w:b/>
          <w:color w:val="000000"/>
          <w:szCs w:val="22"/>
          <w:lang w:val="en-US" w:eastAsia="en-US" w:bidi="ar-SA"/>
        </w:rPr>
        <w:t>4. Storage &amp; Handling</w:t>
      </w:r>
    </w:p>
    <w:p>
      <w:pPr>
        <w:spacing w:before="124" w:after="0" w:line="243" w:lineRule="exact"/>
        <w:ind w:left="0" w:right="0" w:firstLine="0"/>
        <w:jc w:val="lef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 xml:space="preserve">- </w:t>
      </w:r>
      <w:r>
        <w:rPr>
          <w:color w:val="000000"/>
        </w:rPr>
        <w:t>White finish for premium, high-contrast labels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  <w:r>
        <w:rPr>
          <w:rFonts w:hint="eastAsia" w:ascii="Arial" w:hAnsi="Calibri" w:eastAsiaTheme="minorEastAsia" w:cstheme="minorBidi"/>
          <w:color w:val="000000"/>
          <w:sz w:val="20"/>
          <w:szCs w:val="22"/>
          <w:lang w:val="en-US" w:eastAsia="zh-CN" w:bidi="ar-SA"/>
        </w:rPr>
        <w:t xml:space="preserve">                                                           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 xml:space="preserve">- </w:t>
      </w:r>
      <w:r>
        <w:rPr>
          <w:color w:val="000000"/>
        </w:rPr>
        <w:t>Store in a dry, cool area (10–25°C, 40–60% RH)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spacing w:before="88" w:after="0" w:line="243" w:lineRule="exact"/>
        <w:ind w:left="0" w:right="0" w:firstLine="0"/>
        <w:jc w:val="lef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 xml:space="preserve">- </w:t>
      </w:r>
      <w:r>
        <w:rPr>
          <w:color w:val="000000"/>
        </w:rPr>
        <w:t>Excellent durability and resistance to moisture and chemicals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  <w:r>
        <w:rPr>
          <w:rFonts w:hint="eastAsia" w:ascii="Arial" w:hAnsi="Calibri" w:eastAsiaTheme="minorEastAsia" w:cstheme="minorBidi"/>
          <w:color w:val="000000"/>
          <w:sz w:val="20"/>
          <w:szCs w:val="22"/>
          <w:lang w:val="en-US" w:eastAsia="zh-CN" w:bidi="ar-SA"/>
        </w:rPr>
        <w:t xml:space="preserve">                                 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-</w:t>
      </w:r>
      <w:r>
        <w:rPr>
          <w:rFonts w:hint="eastAsia" w:ascii="Arial" w:hAnsi="Calibri" w:eastAsiaTheme="minorEastAsia" w:cstheme="minorBidi"/>
          <w:color w:val="000000"/>
          <w:sz w:val="20"/>
          <w:szCs w:val="22"/>
          <w:lang w:val="en-US" w:eastAsia="zh-CN" w:bidi="ar-SA"/>
        </w:rPr>
        <w:t xml:space="preserve"> </w:t>
      </w:r>
      <w:r>
        <w:rPr>
          <w:color w:val="000000"/>
        </w:rPr>
        <w:t>Avoid direct sunlight, extreme humidity, and high temperatures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spacing w:before="87" w:after="0" w:line="243" w:lineRule="exact"/>
        <w:ind w:left="0" w:right="0" w:firstLine="0"/>
        <w:jc w:val="lef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 xml:space="preserve">- </w:t>
      </w:r>
      <w:r>
        <w:rPr>
          <w:color w:val="000000"/>
        </w:rPr>
        <w:t>Highly suitable for both cold and hot applications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  <w:r>
        <w:rPr>
          <w:rFonts w:hint="eastAsia" w:ascii="Arial" w:hAnsi="Calibri" w:eastAsiaTheme="minorEastAsia" w:cstheme="minorBidi"/>
          <w:color w:val="000000"/>
          <w:sz w:val="20"/>
          <w:szCs w:val="22"/>
          <w:lang w:val="en-US" w:eastAsia="zh-CN" w:bidi="ar-SA"/>
        </w:rPr>
        <w:t xml:space="preserve">                                                     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 xml:space="preserve">- </w:t>
      </w:r>
      <w:r>
        <w:rPr>
          <w:color w:val="000000"/>
        </w:rPr>
        <w:t>Store flat and protect from contamination, dust, and physical damage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spacing w:before="107" w:after="0" w:line="233" w:lineRule="exact"/>
        <w:ind w:left="0" w:right="0" w:firstLine="0"/>
        <w:jc w:val="lef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 xml:space="preserve">- </w:t>
      </w:r>
      <w:r>
        <w:rPr>
          <w:color w:val="000000"/>
        </w:rPr>
        <w:t>Compatible with various printing technologies for branding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spacing w:before="107" w:after="0" w:line="233" w:lineRule="exact"/>
        <w:ind w:left="0" w:right="0" w:firstLine="0"/>
        <w:jc w:val="left"/>
        <w:rPr>
          <w:rFonts w:ascii="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 xml:space="preserve">- </w:t>
      </w:r>
      <w:r>
        <w:rPr>
          <w:color w:val="000000"/>
        </w:rPr>
        <w:t>Recyclable and eco-friendly material options available</w:t>
      </w:r>
      <w:r>
        <w:rPr>
          <w:rFonts w:ascii="Arial" w:hAnsi="Calibri" w:eastAsiaTheme="minorEastAsia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spacing w:before="522" w:after="0" w:line="178" w:lineRule="exact"/>
        <w:ind w:left="530" w:right="0" w:firstLine="0"/>
        <w:jc w:val="left"/>
        <w:rPr>
          <w:rFonts w:ascii="Arial" w:hAnsi="Calibri"/>
          <w:color w:val="000000"/>
          <w:sz w:val="15"/>
          <w:szCs w:val="22"/>
          <w:lang w:val="en-US" w:eastAsia="en-US" w:bidi="ar-SA"/>
        </w:rPr>
      </w:pPr>
      <w:r>
        <w:rPr>
          <w:rFonts w:ascii="Arial" w:hAnsi="Calibri" w:eastAsiaTheme="minorEastAsia" w:cstheme="minorBidi"/>
          <w:color w:val="000000"/>
          <w:sz w:val="15"/>
          <w:szCs w:val="22"/>
          <w:lang w:val="en-US" w:eastAsia="en-US" w:bidi="ar-SA"/>
        </w:rPr>
        <w:t>Hardvogue Limited</w:t>
      </w:r>
      <w:r>
        <w:rPr>
          <w:rFonts w:ascii="Arial" w:hAnsi="Calibri" w:eastAsiaTheme="minorEastAsia" w:cstheme="minorBidi"/>
          <w:color w:val="000000"/>
          <w:spacing w:val="834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 w:eastAsiaTheme="minorEastAsia" w:cstheme="minorBidi"/>
          <w:color w:val="000000"/>
          <w:sz w:val="15"/>
          <w:szCs w:val="22"/>
          <w:lang w:val="en-US" w:eastAsia="en-US" w:bidi="ar-SA"/>
        </w:rPr>
        <w:t>Address: Xixi Shouzuo, Wenyi Road, West Lake District, Hangzhou City, China 310030</w:t>
      </w:r>
      <w:r>
        <w:rPr>
          <w:rFonts w:ascii="Arial" w:hAnsi="Calibri" w:eastAsiaTheme="minorEastAsia" w:cstheme="minorBidi"/>
          <w:color w:val="000000"/>
          <w:spacing w:val="917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 w:eastAsiaTheme="minorEastAsia" w:cstheme="minorBidi"/>
          <w:color w:val="000000"/>
          <w:sz w:val="15"/>
          <w:szCs w:val="22"/>
          <w:lang w:val="en-US" w:eastAsia="en-US" w:bidi="ar-SA"/>
        </w:rPr>
        <w:t>Email: sales@hardvogueltd.com</w:t>
      </w:r>
      <w:r>
        <w:rPr>
          <w:rFonts w:ascii="Arial" w:hAnsi="Calibri" w:eastAsiaTheme="minorEastAsia" w:cstheme="minorBidi"/>
          <w:color w:val="000000"/>
          <w:spacing w:val="542"/>
          <w:sz w:val="15"/>
          <w:szCs w:val="22"/>
          <w:lang w:val="en-US" w:eastAsia="en-US" w:bidi="ar-SA"/>
        </w:rPr>
        <w:t xml:space="preserve"> </w:t>
      </w:r>
      <w:r>
        <w:rPr>
          <w:rFonts w:ascii="Arial" w:hAnsi="Calibri" w:eastAsiaTheme="minorEastAsia" w:cstheme="minorBidi"/>
          <w:color w:val="000000"/>
          <w:sz w:val="15"/>
          <w:szCs w:val="22"/>
          <w:lang w:val="en-US" w:eastAsia="en-US" w:bidi="ar-SA"/>
        </w:rPr>
        <w:t>Website: www.hardvogue.com</w:t>
      </w:r>
    </w:p>
    <w:sectPr>
      <w:pgSz w:w="16820" w:h="11900" w:orient="landscape"/>
      <w:pgMar w:top="651" w:right="100" w:bottom="0" w:left="621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CB5E8"/>
    <w:multiLevelType w:val="singleLevel"/>
    <w:tmpl w:val="8E1CB5E8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A9003F46"/>
    <w:multiLevelType w:val="singleLevel"/>
    <w:tmpl w:val="A9003F46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26E9DFC8"/>
    <w:multiLevelType w:val="singleLevel"/>
    <w:tmpl w:val="26E9DFC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3C8172EC"/>
    <w:rsid w:val="500949A6"/>
    <w:rsid w:val="66246E4B"/>
    <w:rsid w:val="F2EC1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iPriority w:val="0"/>
    <w:pPr>
      <w:numPr>
        <w:ilvl w:val="0"/>
        <w:numId w:val="1"/>
      </w:numPr>
    </w:p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351</Words>
  <Characters>1716</Characters>
  <Lines>1</Lines>
  <Paragraphs>1</Paragraphs>
  <TotalTime>1</TotalTime>
  <ScaleCrop>false</ScaleCrop>
  <LinksUpToDate>false</LinksUpToDate>
  <CharactersWithSpaces>2040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2025-03-12T22:08:00Z</dcterms:created>
  <dc:creator>Administrator</dc:creator>
  <cp:lastModifiedBy>Leo</cp:lastModifiedBy>
  <dcterms:modified xsi:type="dcterms:W3CDTF">2025-04-21T00:30:01Z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eyJoZGlkIjoiMDg1ZGNmZjk5MjcxZjBkYzRkZjg4NGNiMTk5M2I1OGYiLCJ1c2VySWQiOiIxMTM3OTQ3NTI2In0=</vt:lpwstr>
  </property>
  <property fmtid="{D5CDD505-2E9C-101B-9397-08002B2CF9AE}" pid="3" name="KSOProductBuildVer">
    <vt:lpwstr>2052-6.6.0.8801</vt:lpwstr>
  </property>
  <property fmtid="{D5CDD505-2E9C-101B-9397-08002B2CF9AE}" pid="4" name="ICV">
    <vt:lpwstr>EED1318F06C34940A597A651385E0394_13</vt:lpwstr>
  </property>
</Properties>
</file>