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Technical Parameters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Product Technical Parameters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1、The  rated 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voltage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 of  mineral-insulated  cables:light  load(BTTQ、BTTVQ、WD-BTTYQ)500V  and  heavy  load   (BTYTZ、BTTVZ 、WD-BTTYZ)750V.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2、Testing voltage of mineral-insulated cables:light load 2000V/1min and heavy 2500V/1min.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3、The insulation resistance of mineral-insulation cables shall be more than 1000MW;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when   the length of cable is less than 1000m,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insolation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resistance shall be more than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10,000MW.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4、Long-term service temperature of mineral-insulated cables:The long-term service temperature of mineral insulated cables is 70℃.In areas inaccessible to people ,the long-term service temperature is 105℃;in special high temperature circumstance,the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long-term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service   temperature can reach 250℃.When the temperature keeps at 950-1000℃,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cable can sustain power supply for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at least 3 hours;during a short or extremely short period,the    service temperature can reach 1083℃.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Curve radius:The possible minimum curve radius of mineral-insulated cables shall be in line with the above form.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03" w:type="dxa"/>
            <w:tcBorders>
              <w:top w:val="single" w:color="E2953E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External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diameter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of the cable</w:t>
            </w:r>
          </w:p>
        </w:tc>
        <w:tc>
          <w:tcPr>
            <w:tcW w:w="1703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D＜7</w:t>
            </w:r>
          </w:p>
        </w:tc>
        <w:tc>
          <w:tcPr>
            <w:tcW w:w="1703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7≤D＜12</w:t>
            </w:r>
          </w:p>
        </w:tc>
        <w:tc>
          <w:tcPr>
            <w:tcW w:w="170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12≤D＜12</w:t>
            </w:r>
          </w:p>
        </w:tc>
        <w:tc>
          <w:tcPr>
            <w:tcW w:w="170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D≥15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3" w:type="dxa"/>
            <w:tcBorders>
              <w:top w:val="single" w:color="E2953E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Minimum curve radius</w:t>
            </w:r>
          </w:p>
        </w:tc>
        <w:tc>
          <w:tcPr>
            <w:tcW w:w="1703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2D</w:t>
            </w:r>
          </w:p>
        </w:tc>
        <w:tc>
          <w:tcPr>
            <w:tcW w:w="1703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3D</w:t>
            </w:r>
          </w:p>
        </w:tc>
        <w:tc>
          <w:tcPr>
            <w:tcW w:w="170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4D</w:t>
            </w:r>
          </w:p>
        </w:tc>
        <w:tc>
          <w:tcPr>
            <w:tcW w:w="170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6D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855"/>
        <w:gridCol w:w="595"/>
        <w:gridCol w:w="695"/>
        <w:gridCol w:w="600"/>
        <w:gridCol w:w="695"/>
        <w:gridCol w:w="725"/>
        <w:gridCol w:w="545"/>
        <w:gridCol w:w="527"/>
        <w:gridCol w:w="875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Number of cores × Standard cross section size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External diameter of the cable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Rated current capacity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Cross section size of copper sheath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Maximum length of a finished cable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Theoretical Weight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Bare cable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Plastic sheath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Bare cable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Plastic sheath</w:t>
            </w: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Bare cable 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Plastic sheath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BTTQ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(BTTVQ)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(WD-BTTYQ)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²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mm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mm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²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Kg/Km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Kg/Km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19.5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6.0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Base on actual delivery length                                                           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22.5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9.4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×4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16.5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8.9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650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3×2.5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224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8.8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10.2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550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4×2.5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278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650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233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13.3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530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291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7×2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17.4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40" w:firstLineChars="200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BTTZ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(BTTVZ)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(WD-BTTYZ)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BTTZ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(BTTVZ)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(WD-BTTYZ)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4.9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5.8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880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6.4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780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5.9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640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8.9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720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550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241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438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329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336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455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280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584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24.7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773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251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279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30.9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1022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333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36.7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164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1315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344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382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42.6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1604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388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431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49.5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119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1950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22.9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434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482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58.1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97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2360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25.8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537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70.1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89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2993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26.0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28.6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883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86.7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3680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30.0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32.8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948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1053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110.8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4805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7.9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465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14.6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380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284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313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365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257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459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26.7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634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34.1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138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871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19.1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43.4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114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1201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418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260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325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332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19.3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280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426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537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30.3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768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38.1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1050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18.2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47.4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1460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335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312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18.5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278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395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22.9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235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519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26.7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183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658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68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34.4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138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927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19.3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45.8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1353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22.6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116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56.0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1822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20.7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220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444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24.7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562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13.5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26.0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638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29.7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120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836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14.1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32.2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156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706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38.1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137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907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16.6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18.6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41.6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110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982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1077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For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m 1 M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inera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l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-i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n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ul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ated cables,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cables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with plastic sheath or touch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installed on wooden wal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l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The temperature of the metal sheath:70℃; temperature of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the environment:30℃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36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</w:trPr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Standard cross section of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conductors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²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Current carrying capacity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Two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conductors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wo-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cor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e or single-core cables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Thee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conductors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Multi-core cables or single-core cables lined up in a triangular shape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Single-core cables lined up in a flat array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750V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296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340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388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327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440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371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514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434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782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748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940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893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1032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Note: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1. The two ends of the copper sheath of a single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core cable are conne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ted in the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ir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uit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2. The current capacity values of touchable bare cables shall be the data in this Form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multiplied by 0.9.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Form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2 Mineral-insulated cables, untouchable bare cables installed on a brick wal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l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The temperature of the metal sheath:105℃; temperature of the environment: 30℃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36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Standard cross section of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conductors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²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Current carrying capacity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Two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conductors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wo-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cor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e or single-core cables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ee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conductors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Multi-core cables or single-core cables lined up in a triangular shape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Single-core cables lined up in a flat array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750V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369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424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485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550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465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643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544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973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947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1230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1136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1146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Note: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two ends of the copper sheath of a single-core cable are connected in the circuit.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When installed in a bundle, the cable current capacity value doesn’t need to be adjusted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Form 3 Mineral-insulated cables,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cables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with plastic sheath or touchable bare cables exposed in the air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The temperature of the metal sheath:70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℃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: temperature of the environment:30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℃</w:t>
      </w:r>
    </w:p>
    <w:tbl>
      <w:tblPr>
        <w:tblStyle w:val="5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68"/>
        <w:gridCol w:w="1579"/>
        <w:gridCol w:w="1665"/>
        <w:gridCol w:w="139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Standard cross section of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 conductors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²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Current carrying capacity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Two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conductors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wo-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cor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e or single-core cables</w:t>
            </w:r>
          </w:p>
        </w:tc>
        <w:tc>
          <w:tcPr>
            <w:tcW w:w="5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ee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conductors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Multi-core cables or single-core cables lined up in a triangular shape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Single-core cables lined up in a flat array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Intervals are created when single-core cables are vertically installed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Intervals are created when single-core cables are horizontally installed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750V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198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223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317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289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364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377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472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399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426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446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552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466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496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497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812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758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789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792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965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933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938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1058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Note: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 xml:space="preserve">1. The two ends of the copper sheath of a single-core cable are 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connected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 xml:space="preserve"> in the 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circuit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2. The current capacity values of touchable bare cables shall be the data in this Form multiplied by 0.9.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 xml:space="preserve">3. When intervals exist, the intervals shall be at least as long as the 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external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 xml:space="preserve"> diameter of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one cable.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Form 4 Mineral-insulated cables, untouchable cables exposed in the air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The temperature of the metal sheath:</w:t>
      </w: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  <w:t>l05℃; temperature of the environment:30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℃</w:t>
      </w:r>
    </w:p>
    <w:tbl>
      <w:tblPr>
        <w:tblStyle w:val="5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98"/>
        <w:gridCol w:w="1659"/>
        <w:gridCol w:w="1347"/>
        <w:gridCol w:w="175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Standard cross section of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 conductors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²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Current carrying capacity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Two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conductors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wo-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cor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e or single-core cables</w:t>
            </w:r>
          </w:p>
        </w:tc>
        <w:tc>
          <w:tcPr>
            <w:tcW w:w="6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ee loading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conductors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Multi-core cables or single-core cables lined up in a triangular shape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Single-core cables lined up in a flat array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Intervals are created when single-core cables are vertically installed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Intervals are created when single-core cables are horizontally installed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750V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179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164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178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220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184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216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272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228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247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266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279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323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335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359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385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460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385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526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441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469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498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185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596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530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557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697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584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617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624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1012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945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973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1026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1197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1129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1161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1209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1312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Note: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 xml:space="preserve">1. The two ends of the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copper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 xml:space="preserve"> sheath of a single-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 xml:space="preserve">ore cable are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connected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 xml:space="preserve"> in the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ir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uit.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2. When installed in a bundle, the cable current capacity value doesn’t need to be adjusted.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 xml:space="preserve">3. When intervals exist, the intervals shall he at least as long as the external diameter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of one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 xml:space="preserve"> cable.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  <w:t>Form 5 Ad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j</w:t>
      </w:r>
      <w:r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  <w:t xml:space="preserve">ustment 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Coefficients</w:t>
      </w:r>
      <w:r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  <w:t xml:space="preserve"> when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 xml:space="preserve"> Air Temperature in the Environment</w:t>
      </w:r>
      <w:r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  <w:t xml:space="preserve"> is not Equal to 30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℃</w:t>
      </w:r>
      <w:r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832" w:type="dxa"/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Temperature of the environment ℃</w:t>
            </w:r>
          </w:p>
        </w:tc>
        <w:tc>
          <w:tcPr>
            <w:tcW w:w="2833" w:type="dxa"/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Plastic sheath and touchable bare cables 70℃</w:t>
            </w:r>
          </w:p>
        </w:tc>
        <w:tc>
          <w:tcPr>
            <w:tcW w:w="2833" w:type="dxa"/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Untouchable bare cables 105℃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1.21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1.14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1.07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0.77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33" w:type="dxa"/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2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832" w:type="dxa"/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2833" w:type="dxa"/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33" w:type="dxa"/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0.32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Form 6 List of Laying Approaches (index for checking current capacities of various installation approaches)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775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vertAlign w:val="baseline"/>
                <w:lang w:val="en-US" w:eastAsia="zh-CN"/>
              </w:rPr>
              <w:t>Item number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vertAlign w:val="baseline"/>
                <w:lang w:val="en-US" w:eastAsia="zh-CN"/>
              </w:rPr>
              <w:t>Explanation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vertAlign w:val="baseline"/>
                <w:lang w:val="en-US" w:eastAsia="zh-CN"/>
              </w:rPr>
              <w:t>Current capacity selection approach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Single-core or multi-core cables Fixed on a wooden wall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Single-core or multi-core cables Fixed on a brick wall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Directly fixed under a wooden ceiling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Laid on a tray without holes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Laid on a tray with holes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Laid on a supporter or metal net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Laid on ladder racks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Hung on a suspension line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Vertically buried in a brick wall 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Select according to Form 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>Laid inside a wall or notch in the ceiling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4"/>
                <w:vertAlign w:val="baseline"/>
                <w:lang w:val="en-US" w:eastAsia="zh-CN"/>
              </w:rPr>
              <w:t xml:space="preserve">Multiply the current carrying capacity in Form 3 and 4 by  0.8 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Form 7 Voltage Drop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Nominal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cross section of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²</w:t>
            </w:r>
          </w:p>
        </w:tc>
        <w:tc>
          <w:tcPr>
            <w:tcW w:w="5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Voltage drop in single-phase power supply mV/A/m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2 connected single-core cable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Multi-core cable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1.5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2.5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4.2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2.6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1.65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1.20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0.89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70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0.62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95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0.46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0.37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150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0.30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185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0.25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240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0.19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0.15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0.112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2133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Voltage drop in three-phase power supply mV/A/m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Three single-core cables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Multi-core cable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Triangle contact arrangement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Horizontal contact arrangement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Horizontal Pitch Arrangement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382" w:themeFill="accent2" w:themeFillTint="99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2.3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2.3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2.3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1.45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1.45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1.45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1.05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1.05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1.05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0.78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0.97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0.82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0.55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0.58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0.41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0.44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0.32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0.33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0.29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0.32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0.25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0.28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0.165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0.21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0.26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0.130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0.16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0.18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9D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0.097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0.12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  <w:t>0.14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953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—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sz w:val="16"/>
        <w:szCs w:val="22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998980" cy="470535"/>
          <wp:effectExtent l="0" t="0" r="0" b="0"/>
          <wp:docPr id="2" name="图片 2" descr="江南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江南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98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</w:t>
    </w:r>
    <w:r>
      <w:rPr>
        <w:rFonts w:hint="default" w:ascii="Times New Roman" w:hAnsi="Times New Roman" w:cs="Times New Roman"/>
        <w:sz w:val="24"/>
        <w:szCs w:val="24"/>
        <w:lang w:val="en-US" w:eastAsia="zh-CN"/>
      </w:rPr>
      <w:t>www.cablejn.com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CA9B2"/>
    <w:multiLevelType w:val="singleLevel"/>
    <w:tmpl w:val="CD7CA9B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2A7BAEB"/>
    <w:multiLevelType w:val="singleLevel"/>
    <w:tmpl w:val="72A7BAE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WIwY2VlYTEzOTE1YjM1Zjg2NzlhM2NmNjhlNWEifQ=="/>
  </w:docVars>
  <w:rsids>
    <w:rsidRoot w:val="60F33D6D"/>
    <w:rsid w:val="2D0E274F"/>
    <w:rsid w:val="56C20BE3"/>
    <w:rsid w:val="60F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2024-05-22T02:35:00Z</dcterms:created>
  <dc:creator>今夕何夕16</dc:creator>
  <cp:lastModifiedBy>今夕何夕16</cp:lastModifiedBy>
  <dcterms:modified xsi:type="dcterms:W3CDTF">2024-05-22T09:28:58Z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F2A756DBB8C04A6280848F2F4C07ABE5_11</vt:lpwstr>
  </property>
</Properties>
</file>